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tblPr>
      <w:tblGrid>
        <w:gridCol w:w="9576"/>
      </w:tblGrid>
      <w:tr w:rsidR="00AE08FB" w:rsidTr="008B6C61">
        <w:tc>
          <w:tcPr>
            <w:tcW w:w="9576" w:type="dxa"/>
          </w:tcPr>
          <w:p w:rsidR="00AE08FB" w:rsidRPr="00AE08FB" w:rsidRDefault="00AE08FB" w:rsidP="008B6C61">
            <w:pPr>
              <w:rPr>
                <w:b/>
              </w:rPr>
            </w:pPr>
            <w:r w:rsidRPr="00AE08FB">
              <w:rPr>
                <w:b/>
              </w:rPr>
              <w:t>Program:</w:t>
            </w:r>
            <w:r w:rsidR="00F316BA">
              <w:rPr>
                <w:b/>
              </w:rPr>
              <w:t xml:space="preserve">  Physics</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r w:rsidR="00F316BA">
              <w:rPr>
                <w:b/>
              </w:rPr>
              <w:t xml:space="preserve">  David Smith, Dena Murillo-Peters</w:t>
            </w:r>
          </w:p>
          <w:p w:rsidR="00AE08FB" w:rsidRPr="00AE08FB" w:rsidRDefault="00AE08FB" w:rsidP="008B6C61">
            <w:pPr>
              <w:rPr>
                <w:b/>
              </w:rPr>
            </w:pPr>
          </w:p>
        </w:tc>
      </w:tr>
      <w:tr w:rsidR="00AE08FB" w:rsidTr="008B6C61">
        <w:tc>
          <w:tcPr>
            <w:tcW w:w="9576" w:type="dxa"/>
          </w:tcPr>
          <w:p w:rsidR="0004122A" w:rsidRDefault="00AE08FB" w:rsidP="008B6C61">
            <w:pPr>
              <w:rPr>
                <w:b/>
              </w:rPr>
            </w:pPr>
            <w:r w:rsidRPr="00AE08FB">
              <w:rPr>
                <w:b/>
              </w:rPr>
              <w:t>Overall</w:t>
            </w:r>
            <w:r>
              <w:rPr>
                <w:b/>
              </w:rPr>
              <w:t xml:space="preserve"> Recommendation with Rationale</w:t>
            </w:r>
            <w:r w:rsidRPr="00AE08FB">
              <w:rPr>
                <w:b/>
              </w:rPr>
              <w:t>:</w:t>
            </w:r>
            <w:r w:rsidR="00F316BA">
              <w:rPr>
                <w:b/>
              </w:rPr>
              <w:t xml:space="preserve">  </w:t>
            </w:r>
            <w:r w:rsidR="0004122A">
              <w:rPr>
                <w:b/>
              </w:rPr>
              <w:t>Meets</w:t>
            </w:r>
          </w:p>
          <w:p w:rsidR="0004122A" w:rsidRDefault="0004122A" w:rsidP="008B6C61">
            <w:pPr>
              <w:rPr>
                <w:b/>
              </w:rPr>
            </w:pPr>
          </w:p>
          <w:p w:rsidR="00AE08FB" w:rsidRPr="00AE08FB" w:rsidRDefault="00F316BA" w:rsidP="008B6C61">
            <w:pPr>
              <w:rPr>
                <w:b/>
              </w:rPr>
            </w:pPr>
            <w:r>
              <w:rPr>
                <w:b/>
              </w:rPr>
              <w:t xml:space="preserve">Professor </w:t>
            </w:r>
            <w:proofErr w:type="spellStart"/>
            <w:r>
              <w:rPr>
                <w:b/>
              </w:rPr>
              <w:t>Lysak</w:t>
            </w:r>
            <w:proofErr w:type="spellEnd"/>
            <w:r>
              <w:rPr>
                <w:b/>
              </w:rPr>
              <w:t>, department chair, has prepared a detailed and thorough report outlining the successes and challenges of the Physics/Astronomy Dept. despite facing financial and demographic challenges. The department is coping effectively and has outlined a clear vision for the future.</w:t>
            </w:r>
          </w:p>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189"/>
        <w:gridCol w:w="37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04122A" w:rsidRDefault="00AE08FB" w:rsidP="008B6C61">
            <w:pPr>
              <w:rPr>
                <w:rFonts w:ascii="Arial" w:hAnsi="Arial" w:cs="Arial"/>
                <w:b/>
                <w:sz w:val="20"/>
                <w:szCs w:val="20"/>
              </w:rPr>
            </w:pPr>
            <w:r w:rsidRPr="00AE08FB">
              <w:rPr>
                <w:rFonts w:ascii="Arial" w:hAnsi="Arial" w:cs="Arial"/>
                <w:b/>
                <w:sz w:val="20"/>
                <w:szCs w:val="20"/>
              </w:rPr>
              <w:t>Reviewer Feedback:</w:t>
            </w:r>
            <w:r w:rsidR="0004122A">
              <w:rPr>
                <w:rFonts w:ascii="Arial" w:hAnsi="Arial" w:cs="Arial"/>
                <w:b/>
                <w:sz w:val="20"/>
                <w:szCs w:val="20"/>
              </w:rPr>
              <w:t xml:space="preserve">  Meets</w:t>
            </w:r>
          </w:p>
          <w:p w:rsidR="00AE08FB" w:rsidRPr="00AE08FB" w:rsidRDefault="0004122A" w:rsidP="008B6C61">
            <w:pPr>
              <w:rPr>
                <w:rFonts w:ascii="Arial" w:hAnsi="Arial" w:cs="Arial"/>
                <w:b/>
                <w:sz w:val="20"/>
                <w:szCs w:val="20"/>
              </w:rPr>
            </w:pPr>
            <w:r>
              <w:rPr>
                <w:rFonts w:ascii="Arial" w:hAnsi="Arial" w:cs="Arial"/>
                <w:b/>
                <w:sz w:val="20"/>
                <w:szCs w:val="20"/>
              </w:rPr>
              <w:t>T</w:t>
            </w:r>
            <w:r w:rsidR="00F316BA">
              <w:rPr>
                <w:rFonts w:ascii="Arial" w:hAnsi="Arial" w:cs="Arial"/>
                <w:b/>
                <w:sz w:val="20"/>
                <w:szCs w:val="20"/>
              </w:rPr>
              <w:t xml:space="preserve">he department is low in African-American participation and high for males. A study of the situation reveals that engineering as a male-dominated field is the main reason. The department is working on major factors for improvement, including greater use of MSSSC, and the new STEM grant. In terms of access, laboratory availability is the main issue. After serious consideration, department has rejected the idea of online lab work. </w:t>
            </w:r>
          </w:p>
          <w:p w:rsidR="00AE08FB" w:rsidRPr="00A35BD7" w:rsidRDefault="00AE08FB" w:rsidP="008B6C61">
            <w:pPr>
              <w:rPr>
                <w:rFonts w:ascii="Arial" w:hAnsi="Arial" w:cs="Arial"/>
                <w:sz w:val="20"/>
                <w:szCs w:val="20"/>
              </w:rPr>
            </w:pP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lastRenderedPageBreak/>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AE08FB" w:rsidRPr="00A35BD7" w:rsidTr="00AE08FB">
        <w:trPr>
          <w:tblHeader/>
        </w:trPr>
        <w:tc>
          <w:tcPr>
            <w:tcW w:w="2125"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8B6C61">
            <w:pPr>
              <w:rPr>
                <w:rFonts w:ascii="Arial" w:hAnsi="Arial" w:cs="Arial"/>
                <w:sz w:val="20"/>
                <w:szCs w:val="20"/>
              </w:rPr>
            </w:pPr>
          </w:p>
        </w:tc>
        <w:tc>
          <w:tcPr>
            <w:tcW w:w="3748"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8B6C61">
        <w:trPr>
          <w:tblHeader/>
        </w:trPr>
        <w:tc>
          <w:tcPr>
            <w:tcW w:w="0" w:type="auto"/>
          </w:tcPr>
          <w:p w:rsidR="00AE08FB" w:rsidRPr="001526D4" w:rsidRDefault="00AE08FB"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B733A0">
        <w:trPr>
          <w:tblHeader/>
        </w:trPr>
        <w:tc>
          <w:tcPr>
            <w:tcW w:w="0" w:type="auto"/>
            <w:gridSpan w:val="3"/>
          </w:tcPr>
          <w:p w:rsidR="0004122A" w:rsidRDefault="00AE08FB" w:rsidP="008B6C61">
            <w:pPr>
              <w:rPr>
                <w:rFonts w:ascii="Arial" w:hAnsi="Arial" w:cs="Arial"/>
                <w:b/>
                <w:sz w:val="20"/>
                <w:szCs w:val="20"/>
              </w:rPr>
            </w:pPr>
            <w:r w:rsidRPr="00AE08FB">
              <w:rPr>
                <w:rFonts w:ascii="Arial" w:hAnsi="Arial" w:cs="Arial"/>
                <w:b/>
                <w:sz w:val="20"/>
                <w:szCs w:val="20"/>
              </w:rPr>
              <w:t>Reviewer Feedback:</w:t>
            </w:r>
            <w:r w:rsidR="00F316BA">
              <w:rPr>
                <w:rFonts w:ascii="Arial" w:hAnsi="Arial" w:cs="Arial"/>
                <w:b/>
                <w:sz w:val="20"/>
                <w:szCs w:val="20"/>
              </w:rPr>
              <w:t xml:space="preserve">  </w:t>
            </w:r>
            <w:r w:rsidR="0004122A">
              <w:rPr>
                <w:rFonts w:ascii="Arial" w:hAnsi="Arial" w:cs="Arial"/>
                <w:b/>
                <w:sz w:val="20"/>
                <w:szCs w:val="20"/>
              </w:rPr>
              <w:t>Meets</w:t>
            </w:r>
          </w:p>
          <w:p w:rsidR="00AE08FB" w:rsidRDefault="00F316BA" w:rsidP="008B6C61">
            <w:pPr>
              <w:rPr>
                <w:rFonts w:ascii="Arial" w:hAnsi="Arial" w:cs="Arial"/>
                <w:b/>
                <w:sz w:val="20"/>
                <w:szCs w:val="20"/>
              </w:rPr>
            </w:pPr>
            <w:r>
              <w:rPr>
                <w:rFonts w:ascii="Arial" w:hAnsi="Arial" w:cs="Arial"/>
                <w:b/>
                <w:sz w:val="20"/>
                <w:szCs w:val="20"/>
              </w:rPr>
              <w:t>The main report is that success and retention levels have held steady at approximately 78% retention and 68% success for the last four years.  The department feels that considering staffing of only one full-time professor; this consistency is reasonable. FTEs have gone from 76 to 139 over the last five years. Online enrollment has held steady.</w:t>
            </w:r>
          </w:p>
          <w:p w:rsidR="00664212" w:rsidRPr="00AE08FB" w:rsidRDefault="00664212" w:rsidP="008B6C61">
            <w:pPr>
              <w:rPr>
                <w:rFonts w:ascii="Arial" w:hAnsi="Arial" w:cs="Arial"/>
                <w:b/>
                <w:sz w:val="20"/>
                <w:szCs w:val="20"/>
              </w:rPr>
            </w:pPr>
            <w:r>
              <w:rPr>
                <w:rFonts w:ascii="Arial" w:hAnsi="Arial" w:cs="Arial"/>
                <w:b/>
                <w:sz w:val="20"/>
                <w:szCs w:val="20"/>
              </w:rPr>
              <w:t>The department is beginning the second cycle of SLO evaluation; this academic year, they will evaluate day time lecture/lab section of Physics 101 and Astronomy 120.</w:t>
            </w:r>
          </w:p>
          <w:p w:rsidR="00AE08FB" w:rsidRPr="00B93FCA" w:rsidRDefault="00AE08FB" w:rsidP="008B6C61">
            <w:pPr>
              <w:rPr>
                <w:rFonts w:ascii="Arial" w:hAnsi="Arial" w:cs="Arial"/>
                <w:sz w:val="20"/>
                <w:szCs w:val="20"/>
              </w:rPr>
            </w:pP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3812"/>
        <w:gridCol w:w="405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lastRenderedPageBreak/>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04122A" w:rsidRDefault="00AE08FB" w:rsidP="008B6C61">
            <w:pPr>
              <w:rPr>
                <w:rFonts w:ascii="Arial" w:hAnsi="Arial" w:cs="Arial"/>
                <w:b/>
                <w:sz w:val="20"/>
                <w:szCs w:val="20"/>
              </w:rPr>
            </w:pPr>
            <w:r w:rsidRPr="00AE08FB">
              <w:rPr>
                <w:rFonts w:ascii="Arial" w:hAnsi="Arial" w:cs="Arial"/>
                <w:b/>
                <w:sz w:val="20"/>
                <w:szCs w:val="20"/>
              </w:rPr>
              <w:t>Reviewer Feedback:</w:t>
            </w:r>
            <w:r w:rsidR="0004122A">
              <w:rPr>
                <w:rFonts w:ascii="Arial" w:hAnsi="Arial" w:cs="Arial"/>
                <w:b/>
                <w:sz w:val="20"/>
                <w:szCs w:val="20"/>
              </w:rPr>
              <w:t xml:space="preserve">  Meets</w:t>
            </w:r>
          </w:p>
          <w:p w:rsidR="00AE08FB" w:rsidRDefault="0004122A" w:rsidP="008B6C61">
            <w:pPr>
              <w:rPr>
                <w:rFonts w:ascii="Arial" w:hAnsi="Arial" w:cs="Arial"/>
                <w:b/>
                <w:sz w:val="20"/>
                <w:szCs w:val="20"/>
              </w:rPr>
            </w:pPr>
            <w:r>
              <w:rPr>
                <w:rFonts w:ascii="Arial" w:hAnsi="Arial" w:cs="Arial"/>
                <w:b/>
                <w:sz w:val="20"/>
                <w:szCs w:val="20"/>
              </w:rPr>
              <w:t>E</w:t>
            </w:r>
            <w:r w:rsidR="001F326B">
              <w:rPr>
                <w:rFonts w:ascii="Arial" w:hAnsi="Arial" w:cs="Arial"/>
                <w:b/>
                <w:sz w:val="20"/>
                <w:szCs w:val="20"/>
              </w:rPr>
              <w:t>valuations are current. The department did not evaluate some independent study courses due to misunderstandings regarding protocols, but will rectify the situation during this academic year.</w:t>
            </w:r>
          </w:p>
          <w:p w:rsidR="00AE08FB" w:rsidRPr="00AE08FB" w:rsidRDefault="00AE08FB" w:rsidP="008B6C61">
            <w:pPr>
              <w:rPr>
                <w:rFonts w:ascii="Arial" w:hAnsi="Arial" w:cs="Arial"/>
                <w:b/>
                <w:sz w:val="20"/>
                <w:szCs w:val="20"/>
              </w:rPr>
            </w:pP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04122A" w:rsidRDefault="00AE08FB" w:rsidP="008B6C61">
            <w:pPr>
              <w:rPr>
                <w:rFonts w:ascii="Arial" w:hAnsi="Arial" w:cs="Arial"/>
                <w:b/>
                <w:sz w:val="20"/>
                <w:szCs w:val="20"/>
              </w:rPr>
            </w:pPr>
            <w:r w:rsidRPr="00AE08FB">
              <w:rPr>
                <w:rFonts w:ascii="Arial" w:hAnsi="Arial" w:cs="Arial"/>
                <w:b/>
                <w:sz w:val="20"/>
                <w:szCs w:val="20"/>
              </w:rPr>
              <w:t>Reviewer Feedback:</w:t>
            </w:r>
            <w:r w:rsidR="0004122A">
              <w:rPr>
                <w:rFonts w:ascii="Arial" w:hAnsi="Arial" w:cs="Arial"/>
                <w:b/>
                <w:sz w:val="20"/>
                <w:szCs w:val="20"/>
              </w:rPr>
              <w:t xml:space="preserve">  Meets</w:t>
            </w:r>
          </w:p>
          <w:p w:rsidR="00AE08FB" w:rsidRDefault="003D5EDA" w:rsidP="008B6C61">
            <w:pPr>
              <w:rPr>
                <w:rFonts w:ascii="Arial" w:hAnsi="Arial" w:cs="Arial"/>
                <w:b/>
                <w:sz w:val="20"/>
                <w:szCs w:val="20"/>
              </w:rPr>
            </w:pPr>
            <w:r>
              <w:rPr>
                <w:rFonts w:ascii="Arial" w:hAnsi="Arial" w:cs="Arial"/>
                <w:b/>
                <w:sz w:val="20"/>
                <w:szCs w:val="20"/>
              </w:rPr>
              <w:t xml:space="preserve">The report explores the strong need for more engineering majors and the optimistic potential for job growth in that field. The department anticipates an increase in enrollment in response to these trends. Again, the STEM grant should play a large part in meeting increased demand. If enrollments continue to be high with long waiting lists, the department is eager to add more Physics sections, funding permitting. </w:t>
            </w:r>
            <w:r w:rsidR="00FE66E7">
              <w:rPr>
                <w:rFonts w:ascii="Arial" w:hAnsi="Arial" w:cs="Arial"/>
                <w:b/>
                <w:sz w:val="20"/>
                <w:szCs w:val="20"/>
              </w:rPr>
              <w:t>Accomplishing include successfully moving into the new building. The department plans to increase the number of STEM majors and add an online Physics 101 course. The department successfully offered Modern Physics 210 the past six summers and increased night offerings of Physics 101. The public is well served with Planetarium and Observatory shows.</w:t>
            </w:r>
          </w:p>
          <w:p w:rsidR="00FE66E7" w:rsidRDefault="00FE66E7" w:rsidP="008B6C61">
            <w:pPr>
              <w:rPr>
                <w:rFonts w:ascii="Arial" w:hAnsi="Arial" w:cs="Arial"/>
                <w:b/>
                <w:sz w:val="20"/>
                <w:szCs w:val="20"/>
              </w:rPr>
            </w:pPr>
            <w:r>
              <w:rPr>
                <w:rFonts w:ascii="Arial" w:hAnsi="Arial" w:cs="Arial"/>
                <w:b/>
                <w:sz w:val="20"/>
                <w:szCs w:val="20"/>
              </w:rPr>
              <w:t>A major challenge is finding an adequate pool of adjunct professors. The program has admittedly suffered at times due t</w:t>
            </w:r>
            <w:r w:rsidR="00323844">
              <w:rPr>
                <w:rFonts w:ascii="Arial" w:hAnsi="Arial" w:cs="Arial"/>
                <w:b/>
                <w:sz w:val="20"/>
                <w:szCs w:val="20"/>
              </w:rPr>
              <w:t xml:space="preserve">o an unstable work force. The </w:t>
            </w:r>
            <w:proofErr w:type="gramStart"/>
            <w:r w:rsidR="00323844">
              <w:rPr>
                <w:rFonts w:ascii="Arial" w:hAnsi="Arial" w:cs="Arial"/>
                <w:b/>
                <w:sz w:val="20"/>
                <w:szCs w:val="20"/>
              </w:rPr>
              <w:t>department lost a lab technician six years ago, and have</w:t>
            </w:r>
            <w:proofErr w:type="gramEnd"/>
            <w:r w:rsidR="00323844">
              <w:rPr>
                <w:rFonts w:ascii="Arial" w:hAnsi="Arial" w:cs="Arial"/>
                <w:b/>
                <w:sz w:val="20"/>
                <w:szCs w:val="20"/>
              </w:rPr>
              <w:t xml:space="preserve"> been getting by with a half-time assistant. </w:t>
            </w:r>
          </w:p>
          <w:p w:rsidR="00D50AD9" w:rsidRDefault="00D50AD9" w:rsidP="008B6C61">
            <w:pPr>
              <w:rPr>
                <w:rFonts w:ascii="Arial" w:hAnsi="Arial" w:cs="Arial"/>
                <w:b/>
                <w:sz w:val="20"/>
                <w:szCs w:val="20"/>
              </w:rPr>
            </w:pPr>
            <w:r>
              <w:rPr>
                <w:rFonts w:ascii="Arial" w:hAnsi="Arial" w:cs="Arial"/>
                <w:b/>
                <w:sz w:val="20"/>
                <w:szCs w:val="20"/>
              </w:rPr>
              <w:t xml:space="preserve">Another challenge is the lecture rooms are not well laid out in conjunction with the labs; the plan is to modify </w:t>
            </w:r>
            <w:proofErr w:type="gramStart"/>
            <w:r>
              <w:rPr>
                <w:rFonts w:ascii="Arial" w:hAnsi="Arial" w:cs="Arial"/>
                <w:b/>
                <w:sz w:val="20"/>
                <w:szCs w:val="20"/>
              </w:rPr>
              <w:t>a lecture/demo procedures</w:t>
            </w:r>
            <w:proofErr w:type="gramEnd"/>
            <w:r>
              <w:rPr>
                <w:rFonts w:ascii="Arial" w:hAnsi="Arial" w:cs="Arial"/>
                <w:b/>
                <w:sz w:val="20"/>
                <w:szCs w:val="20"/>
              </w:rPr>
              <w:t xml:space="preserve"> and purchase some new equipment to resolve this issue.</w:t>
            </w:r>
          </w:p>
          <w:p w:rsidR="00AE08FB" w:rsidRPr="00AE08FB" w:rsidRDefault="00AE08FB" w:rsidP="008B6C61">
            <w:pPr>
              <w:rPr>
                <w:rFonts w:ascii="Arial" w:hAnsi="Arial" w:cs="Arial"/>
                <w:b/>
                <w:sz w:val="20"/>
                <w:szCs w:val="20"/>
              </w:rPr>
            </w:pPr>
          </w:p>
        </w:tc>
      </w:tr>
    </w:tbl>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4010"/>
        <w:gridCol w:w="3993"/>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D50AD9"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D50AD9"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04122A"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04122A">
              <w:rPr>
                <w:rFonts w:ascii="Arial" w:hAnsi="Arial" w:cs="Arial"/>
                <w:b/>
                <w:sz w:val="20"/>
                <w:szCs w:val="20"/>
              </w:rPr>
              <w:t xml:space="preserve">  Meets</w:t>
            </w:r>
          </w:p>
          <w:p w:rsidR="009527A0" w:rsidRDefault="00D50AD9" w:rsidP="009527A0">
            <w:pPr>
              <w:rPr>
                <w:rFonts w:ascii="Arial" w:hAnsi="Arial" w:cs="Arial"/>
                <w:b/>
                <w:sz w:val="20"/>
                <w:szCs w:val="20"/>
              </w:rPr>
            </w:pPr>
            <w:r>
              <w:rPr>
                <w:rFonts w:ascii="Arial" w:hAnsi="Arial" w:cs="Arial"/>
                <w:b/>
                <w:sz w:val="20"/>
                <w:szCs w:val="20"/>
              </w:rPr>
              <w:t xml:space="preserve">The Planetarium and Observatory provide much appreciated links to the community with annual attendance of 400. They also do shows for on-campus “Science and Math Day” events. In addition, the Planetarium and Observatory are also available to visiting schools. The department is incorporating digital scales, an electric multi-meters to improve accuracy and facilitate learning. They are experimenting with “clicker” class management technology and PowerPoint during lectures. The department supports a certificate program in vector control at CSUSB. </w:t>
            </w: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FB"/>
    <w:rsid w:val="0004122A"/>
    <w:rsid w:val="000C0044"/>
    <w:rsid w:val="0019706E"/>
    <w:rsid w:val="001F326B"/>
    <w:rsid w:val="002A2D3B"/>
    <w:rsid w:val="00323844"/>
    <w:rsid w:val="00342BCD"/>
    <w:rsid w:val="00384B45"/>
    <w:rsid w:val="003B353F"/>
    <w:rsid w:val="003D5EDA"/>
    <w:rsid w:val="00623405"/>
    <w:rsid w:val="00664212"/>
    <w:rsid w:val="007503B4"/>
    <w:rsid w:val="009527A0"/>
    <w:rsid w:val="009B4B27"/>
    <w:rsid w:val="00A424CD"/>
    <w:rsid w:val="00A65F04"/>
    <w:rsid w:val="00AA35D1"/>
    <w:rsid w:val="00AE082F"/>
    <w:rsid w:val="00AE08FB"/>
    <w:rsid w:val="00B2433D"/>
    <w:rsid w:val="00C40707"/>
    <w:rsid w:val="00C52263"/>
    <w:rsid w:val="00C96764"/>
    <w:rsid w:val="00CD4FD9"/>
    <w:rsid w:val="00D01BA7"/>
    <w:rsid w:val="00D16AD1"/>
    <w:rsid w:val="00D22EC7"/>
    <w:rsid w:val="00D50AD9"/>
    <w:rsid w:val="00D5601C"/>
    <w:rsid w:val="00E06D22"/>
    <w:rsid w:val="00E97256"/>
    <w:rsid w:val="00EE2EAB"/>
    <w:rsid w:val="00F316BA"/>
    <w:rsid w:val="00FE66E7"/>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6322</Characters>
  <Application>Microsoft Office Word</Application>
  <DocSecurity>4</DocSecurity>
  <Lines>52</Lines>
  <Paragraphs>14</Paragraphs>
  <ScaleCrop>false</ScaleCrop>
  <Company>SBVC</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dmurillo</cp:lastModifiedBy>
  <cp:revision>2</cp:revision>
  <cp:lastPrinted>2011-12-01T16:35:00Z</cp:lastPrinted>
  <dcterms:created xsi:type="dcterms:W3CDTF">2011-12-01T16:37:00Z</dcterms:created>
  <dcterms:modified xsi:type="dcterms:W3CDTF">2011-12-01T16:37:00Z</dcterms:modified>
</cp:coreProperties>
</file>